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AE" w:rsidRPr="00B747AE" w:rsidRDefault="00B747AE" w:rsidP="00B747AE">
      <w:pPr>
        <w:pBdr>
          <w:bottom w:val="single" w:sz="12" w:space="0" w:color="003F8E"/>
        </w:pBdr>
        <w:shd w:val="clear" w:color="auto" w:fill="FFFFFF"/>
        <w:spacing w:after="150" w:line="375" w:lineRule="atLeast"/>
        <w:outlineLvl w:val="0"/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eastAsia="ru-RU"/>
        </w:rPr>
      </w:pPr>
      <w:r w:rsidRPr="00B747AE">
        <w:rPr>
          <w:rFonts w:ascii="Helvetica" w:eastAsia="Times New Roman" w:hAnsi="Helvetica" w:cs="Helvetica"/>
          <w:b/>
          <w:bCs/>
          <w:caps/>
          <w:color w:val="003F8E"/>
          <w:kern w:val="36"/>
          <w:sz w:val="24"/>
          <w:szCs w:val="24"/>
          <w:lang w:eastAsia="ru-RU"/>
        </w:rPr>
        <w:t>ДЕКРЕТ ПРЕЗИДЕНТА № 5</w:t>
      </w:r>
    </w:p>
    <w:p w:rsidR="00B747AE" w:rsidRPr="00B747AE" w:rsidRDefault="00B747AE" w:rsidP="00B747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Зарегистрировано в Национальном реестре правовых актов 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Республики Беларусь 15 декабря 2014 г. N 1/15465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ДЕКРЕТ ПРЕЗИДЕНТА РЕСПУБЛИКИ БЕЛАРУСЬ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15 декабря 2014 г. N 5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ОБ УСИЛЕНИИ ТРЕБОВАНИЙ К РУКОВОДЯЩИМ КАДРАМ И РАБОТНИКАМ ОРГАНИЗАЦИЙ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 </w:t>
      </w:r>
      <w:hyperlink r:id="rId4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частью третьей статьи 101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Конституции Республики Беларусь ПОСТАНОВЛЯЮ: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 Считать обеспечение производственно-технологической </w:t>
      </w:r>
      <w:hyperlink r:id="rId5" w:anchor="P13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&lt;*&gt;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 - руководители организаций).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--------------------------------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&lt;*&gt;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 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 </w:t>
      </w:r>
      <w:hyperlink r:id="rId6" w:anchor="P11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пункте 1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 Предоставить руководителям организаций право: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  <w:proofErr w:type="gramEnd"/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3.2. изменять существенные условия труда работника в связи с обоснованными производственными, организационными или экономическими причинами, предупредив об этом его письменно не </w:t>
      </w:r>
      <w:proofErr w:type="gramStart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позднее</w:t>
      </w:r>
      <w:proofErr w:type="gramEnd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чем за семь календарных дней;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3.3. 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3.4. 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3.5. расторгать трудовой договор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3.6. 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 Установить, что: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руководители организаций под свою персональную ответственность обязаны обеспечить: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производственно-технологическую, исполнительскую и трудовую дисциплину;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надлежащие условия труда работников;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необеспечение</w:t>
      </w:r>
      <w:proofErr w:type="spellEnd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выполнения им требований, предусмотренных в </w:t>
      </w:r>
      <w:hyperlink r:id="rId7" w:anchor="P25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абзацах втором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 </w:t>
      </w:r>
      <w:hyperlink r:id="rId8" w:anchor="P27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четвертом подпункта 4.1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настоящего пункта;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иные противоправные действия (бездействие) руководителя организации, установленные законодательными актами.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 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государственного органа (организации) -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облисполкома или Минского горисполкома -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иного уполномоченного в соответствии с законодательством на проведение проверок государственного органа (организации).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соответствии с </w:t>
      </w:r>
      <w:hyperlink r:id="rId9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частью тринадцатой пункта 14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Декрета Президента Республики Беларусь от 24.11.2006 N 18 обязанное лицо не может быть уволено с работы до полного </w:t>
      </w: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возмещения расходов по содержанию детей, за исключением случаев, предусмотренных в </w:t>
      </w:r>
      <w:hyperlink r:id="rId10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пунктах 1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(кроме сокращения численности или штата работников), </w:t>
      </w:r>
      <w:hyperlink r:id="rId11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2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 </w:t>
      </w:r>
      <w:hyperlink r:id="rId12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8 статьи 42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 </w:t>
      </w:r>
      <w:hyperlink r:id="rId13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пунктах 1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 </w:t>
      </w:r>
      <w:hyperlink r:id="rId14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2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 </w:t>
      </w:r>
      <w:hyperlink r:id="rId15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5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 </w:t>
      </w:r>
      <w:hyperlink r:id="rId16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6 статьи 44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 </w:t>
      </w:r>
      <w:hyperlink r:id="rId17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пунктах 2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</w:t>
      </w:r>
      <w:proofErr w:type="gramEnd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hyperlink r:id="rId18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4 статьи 47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Трудового кодекса Республики Беларусь и в </w:t>
      </w:r>
      <w:hyperlink r:id="rId19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части пятнадцатой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названного Декрета.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 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 - дискредитирующие обстоятельства):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однократное грубое нарушение работником своих трудовых обязанностей: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прогул (в том числе отсутствие на работе более трех часов в течение рабочего дня) без уважительных причин;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нарушение требований по охране труда, повлекшее увечье или смерть других работников;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6.4. 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6.6. направление работника по постановлению суда в лечебно-трудовой профилакторий;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6.7. разглашение коммерческой тайны работником, имеющим к ней доступ;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6.8. 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6.9. сокрытие руководителем организации фактов нарушения работниками трудовых обязанностей либо </w:t>
      </w:r>
      <w:proofErr w:type="spellStart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непривлечение</w:t>
      </w:r>
      <w:proofErr w:type="spellEnd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без уважительных причин виновных лиц к установленной законодательством ответственности за такие нарушения;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6.10. нарушение руководителем организации без уважительных причин порядка и сроков выплаты заработной платы и (или) пособий;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6.11. 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</w:t>
      </w:r>
      <w:proofErr w:type="gramStart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также неправомерный</w:t>
      </w:r>
      <w:proofErr w:type="gramEnd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отказ в рассмотрении относящихся к компетенции соответствующего государственного органа обращений граждан и юридических лиц;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6.12. незаконное привлечение к ответственности граждан и юридических лиц;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6.13. 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6.14. 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  <w:proofErr w:type="gramEnd"/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6.15. 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6.16. несоблюдение ограничений, связанных с государственной службой;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6.17. разглашение государственным служащим сведений, составляющих государственные секреты;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6.18. грубое нарушение государственным служащим должностных обязанностей;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6.19. совершение проступка, несовместимого с нахождением на государственной службе;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6.20. лишение судом государственного служащего права занимать государственную должность в течение определенного времени;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6.21. 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6.22. непредставление государственным служащим </w:t>
      </w:r>
      <w:hyperlink r:id="rId20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декларации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 доходах и имуществе или умышленное внесение в декларацию о доходах и имуществе неполных либо недостоверных сведений;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6.23. наличие у государственного служащего непогашенной или неснятой судимости;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6.24. 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 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 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9. </w:t>
      </w:r>
      <w:proofErr w:type="gramStart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Назначение лиц, уволенных по дискредитирующим обстоятельствам, на руководящие должности </w:t>
      </w:r>
      <w:hyperlink r:id="rId21" w:anchor="P75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&lt;*&gt;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 организации государственной и частной форм собственности в течение пяти лет после такого увольнения, кроме предусмотренных в </w:t>
      </w:r>
      <w:hyperlink r:id="rId22" w:anchor="P72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пункте 8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 Минска (города областного подчинения) (далее - председатель исполкома), на территории которого расположена данная</w:t>
      </w:r>
      <w:proofErr w:type="gramEnd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организация либо ее соответствующее структурное подразделение, в </w:t>
      </w:r>
      <w:hyperlink r:id="rId23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порядке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предусмотренном Советом Министров Республики Беларусь.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--------------------------------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&lt;*&gt; 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Согласование назначения осуществляется на основании мотивированного </w:t>
      </w:r>
      <w:hyperlink r:id="rId24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ходатайства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организации и прилагаемых к нему характеристик с предыдущих мест работы за последние пять лет.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 </w:t>
      </w:r>
      <w:hyperlink r:id="rId25" w:anchor="P77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части второй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настоящего пункта.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 Назначение лица на должность с нарушением требований, предусмотренных в </w:t>
      </w:r>
      <w:hyperlink r:id="rId26" w:anchor="P72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пункте 8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 </w:t>
      </w:r>
      <w:hyperlink r:id="rId27" w:anchor="P73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частях первой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 </w:t>
      </w:r>
      <w:hyperlink r:id="rId28" w:anchor="P77" w:history="1">
        <w:r w:rsidRPr="00B747AE">
          <w:rPr>
            <w:rFonts w:ascii="Helvetica" w:eastAsia="Times New Roman" w:hAnsi="Helvetica" w:cs="Helvetica"/>
            <w:color w:val="000000"/>
            <w:sz w:val="21"/>
            <w:lang w:eastAsia="ru-RU"/>
          </w:rPr>
          <w:t>второй пункта 9</w:t>
        </w:r>
      </w:hyperlink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11. Наниматели вправе при приеме на работу работника 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 Нарушение предусмотренного настоящим Декретом порядка назначения на должность, выдача кандидатам на руководящую должность характеристик, содержащих заведомо недостоверную информацию,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13. Совету Министров Республики Беларусь разъяснять вопросы применения настоящего Декрета.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14. 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15. </w:t>
      </w:r>
      <w:proofErr w:type="gramStart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Контроль за</w:t>
      </w:r>
      <w:proofErr w:type="gramEnd"/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B747AE" w:rsidRPr="00B747AE" w:rsidRDefault="00B747AE" w:rsidP="00B747AE">
      <w:pPr>
        <w:shd w:val="clear" w:color="auto" w:fill="FFFFFF"/>
        <w:spacing w:before="150"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47A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16. Настоящий Декрет вступает в силу с 1 января 2015 г.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B747AE" w:rsidRPr="00B747AE" w:rsidTr="00B747AE">
        <w:tc>
          <w:tcPr>
            <w:tcW w:w="4677" w:type="dxa"/>
            <w:hideMark/>
          </w:tcPr>
          <w:p w:rsidR="00B747AE" w:rsidRPr="00B747AE" w:rsidRDefault="00B747AE" w:rsidP="00B747AE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47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Президент Республики Беларусь</w:t>
            </w:r>
          </w:p>
        </w:tc>
        <w:tc>
          <w:tcPr>
            <w:tcW w:w="4677" w:type="dxa"/>
            <w:hideMark/>
          </w:tcPr>
          <w:p w:rsidR="00B747AE" w:rsidRPr="00B747AE" w:rsidRDefault="00B747AE" w:rsidP="00B747AE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47A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А.Лукашенко</w:t>
            </w:r>
          </w:p>
        </w:tc>
      </w:tr>
    </w:tbl>
    <w:p w:rsidR="00DF5459" w:rsidRDefault="00DF5459"/>
    <w:sectPr w:rsidR="00DF5459" w:rsidSect="00DF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7AE"/>
    <w:rsid w:val="0056455E"/>
    <w:rsid w:val="00B747AE"/>
    <w:rsid w:val="00D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59"/>
  </w:style>
  <w:style w:type="paragraph" w:styleId="1">
    <w:name w:val="heading 1"/>
    <w:basedOn w:val="a"/>
    <w:link w:val="10"/>
    <w:uiPriority w:val="9"/>
    <w:qFormat/>
    <w:rsid w:val="00B747A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7A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page">
    <w:name w:val="consplustitlepage"/>
    <w:basedOn w:val="a"/>
    <w:rsid w:val="00B747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47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747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47AE"/>
    <w:rPr>
      <w:b/>
      <w:bCs/>
    </w:rPr>
  </w:style>
  <w:style w:type="character" w:styleId="a4">
    <w:name w:val="Hyperlink"/>
    <w:basedOn w:val="a0"/>
    <w:uiPriority w:val="99"/>
    <w:semiHidden/>
    <w:unhideWhenUsed/>
    <w:rsid w:val="00B747A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747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uk-text-info">
    <w:name w:val="uk-text-info"/>
    <w:basedOn w:val="a0"/>
    <w:rsid w:val="00B747AE"/>
  </w:style>
  <w:style w:type="paragraph" w:customStyle="1" w:styleId="uk-margin-large">
    <w:name w:val="uk-margin-large"/>
    <w:basedOn w:val="a"/>
    <w:rsid w:val="00B747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uk-text-underline">
    <w:name w:val="uk-text-underline"/>
    <w:basedOn w:val="a0"/>
    <w:rsid w:val="00B747AE"/>
  </w:style>
  <w:style w:type="paragraph" w:styleId="a6">
    <w:name w:val="Balloon Text"/>
    <w:basedOn w:val="a"/>
    <w:link w:val="a7"/>
    <w:uiPriority w:val="99"/>
    <w:semiHidden/>
    <w:unhideWhenUsed/>
    <w:rsid w:val="00B7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07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59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10\Desktop\%D0%94%D0%B5%D0%BA%D1%80%D0%B5%D1%82%20%E2%84%96%205.docx" TargetMode="External"/><Relationship Id="rId13" Type="http://schemas.openxmlformats.org/officeDocument/2006/relationships/hyperlink" Target="consultantplus://offline/ref=EB7F559B9416D138349E14CC83A0FA75C2B4F79241AC542903139CD783D601BE35586E7D1B6638F5B65B98F435M254H" TargetMode="External"/><Relationship Id="rId18" Type="http://schemas.openxmlformats.org/officeDocument/2006/relationships/hyperlink" Target="consultantplus://offline/ref=EB7F559B9416D138349E14CC83A0FA75C2B4F79241AC542903139CD783D601BE35586E7D1B6638F5B65B9AF53DM257H" TargetMode="External"/><Relationship Id="rId26" Type="http://schemas.openxmlformats.org/officeDocument/2006/relationships/hyperlink" Target="file:///C:\Users\asu10\Desktop\%D0%94%D0%B5%D0%BA%D1%80%D0%B5%D1%82%20%E2%84%96%205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su10\Desktop\%D0%94%D0%B5%D0%BA%D1%80%D0%B5%D1%82%20%E2%84%96%205.docx" TargetMode="External"/><Relationship Id="rId7" Type="http://schemas.openxmlformats.org/officeDocument/2006/relationships/hyperlink" Target="file:///C:\Users\asu10\Desktop\%D0%94%D0%B5%D0%BA%D1%80%D0%B5%D1%82%20%E2%84%96%205.docx" TargetMode="External"/><Relationship Id="rId12" Type="http://schemas.openxmlformats.org/officeDocument/2006/relationships/hyperlink" Target="consultantplus://offline/ref=EB7F559B9416D138349E14CC83A0FA75C2B4F79241AC542903139CD783D601BE35586E7D1B6638F5B65B9AF43AM256H" TargetMode="External"/><Relationship Id="rId17" Type="http://schemas.openxmlformats.org/officeDocument/2006/relationships/hyperlink" Target="consultantplus://offline/ref=EB7F559B9416D138349E14CC83A0FA75C2B4F79241AC542903139CD783D601BE35586E7D1B6638F5B65B9AF53DM255H" TargetMode="External"/><Relationship Id="rId25" Type="http://schemas.openxmlformats.org/officeDocument/2006/relationships/hyperlink" Target="file:///C:\Users\asu10\Desktop\%D0%94%D0%B5%D0%BA%D1%80%D0%B5%D1%82%20%E2%84%96%205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7F559B9416D138349E14CC83A0FA75C2B4F79241AC542903139CD783D601BE35586E7D1B6638F5B65B98F435M256H" TargetMode="External"/><Relationship Id="rId20" Type="http://schemas.openxmlformats.org/officeDocument/2006/relationships/hyperlink" Target="consultantplus://offline/ref=EB7F559B9416D138349E14CC83A0FA75C2B4F79241AC542A061598D783D601BE35586E7D1B6638F5B65B9AF63BM258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asu10\Desktop\%D0%94%D0%B5%D0%BA%D1%80%D0%B5%D1%82%20%E2%84%96%205.docx" TargetMode="External"/><Relationship Id="rId11" Type="http://schemas.openxmlformats.org/officeDocument/2006/relationships/hyperlink" Target="consultantplus://offline/ref=EB7F559B9416D138349E14CC83A0FA75C2B4F79241AC542903139CD783D601BE35586E7D1B6638F5B65B9AF43AM250H" TargetMode="External"/><Relationship Id="rId24" Type="http://schemas.openxmlformats.org/officeDocument/2006/relationships/hyperlink" Target="consultantplus://offline/ref=EB7F559B9416D138349E14CC83A0FA75C2B4F79241AC542C051091D783D601BE35586E7D1B6638F5B65B9AF63FM254H" TargetMode="External"/><Relationship Id="rId5" Type="http://schemas.openxmlformats.org/officeDocument/2006/relationships/hyperlink" Target="file:///C:\Users\asu10\Desktop\%D0%94%D0%B5%D0%BA%D1%80%D0%B5%D1%82%20%E2%84%96%205.docx" TargetMode="External"/><Relationship Id="rId15" Type="http://schemas.openxmlformats.org/officeDocument/2006/relationships/hyperlink" Target="consultantplus://offline/ref=EB7F559B9416D138349E14CC83A0FA75C2B4F79241AC542903139CD783D601BE35586E7D1B6638F5B65B98F435M257H" TargetMode="External"/><Relationship Id="rId23" Type="http://schemas.openxmlformats.org/officeDocument/2006/relationships/hyperlink" Target="consultantplus://offline/ref=EB7F559B9416D138349E14CC83A0FA75C2B4F79241AC542C051091D783D601BE35586E7D1B6638F5B65B9AF63DM259H" TargetMode="External"/><Relationship Id="rId28" Type="http://schemas.openxmlformats.org/officeDocument/2006/relationships/hyperlink" Target="file:///C:\Users\asu10\Desktop\%D0%94%D0%B5%D0%BA%D1%80%D0%B5%D1%82%20%E2%84%96%205.docx" TargetMode="External"/><Relationship Id="rId10" Type="http://schemas.openxmlformats.org/officeDocument/2006/relationships/hyperlink" Target="consultantplus://offline/ref=EB7F559B9416D138349E14CC83A0FA75C2B4F79241AC542903139CD783D601BE35586E7D1B6638F5B65B98FE3CM256H" TargetMode="External"/><Relationship Id="rId19" Type="http://schemas.openxmlformats.org/officeDocument/2006/relationships/hyperlink" Target="consultantplus://offline/ref=EB7F559B9416D138349E14CC83A0FA75C2B4F79241AC512400149FD783D601BE35586E7D1B6638F5B65B9AF734M259H" TargetMode="External"/><Relationship Id="rId4" Type="http://schemas.openxmlformats.org/officeDocument/2006/relationships/hyperlink" Target="consultantplus://offline/ref=EB7F559B9416D138349E14CC83A0FA75C2B4F79241AF592E0310938A89DE58B2375F61220C6171F9B75B9CF0M35DH" TargetMode="External"/><Relationship Id="rId9" Type="http://schemas.openxmlformats.org/officeDocument/2006/relationships/hyperlink" Target="consultantplus://offline/ref=EB7F559B9416D138349E14CC83A0FA75C2B4F79241AC512400149FD783D601BE35586E7D1B6638F5B65B9AF734M255H" TargetMode="External"/><Relationship Id="rId14" Type="http://schemas.openxmlformats.org/officeDocument/2006/relationships/hyperlink" Target="consultantplus://offline/ref=EB7F559B9416D138349E14CC83A0FA75C2B4F79241AC542903139CD783D601BE35586E7D1B6638F5B65B9AF435M258H" TargetMode="External"/><Relationship Id="rId22" Type="http://schemas.openxmlformats.org/officeDocument/2006/relationships/hyperlink" Target="file:///C:\Users\asu10\Desktop\%D0%94%D0%B5%D0%BA%D1%80%D0%B5%D1%82%20%E2%84%96%205.docx" TargetMode="External"/><Relationship Id="rId27" Type="http://schemas.openxmlformats.org/officeDocument/2006/relationships/hyperlink" Target="file:///C:\Users\asu10\Desktop\%D0%94%D0%B5%D0%BA%D1%80%D0%B5%D1%82%20%E2%84%96%205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2833</Words>
  <Characters>16154</Characters>
  <Application>Microsoft Office Word</Application>
  <DocSecurity>0</DocSecurity>
  <Lines>134</Lines>
  <Paragraphs>37</Paragraphs>
  <ScaleCrop>false</ScaleCrop>
  <Company>Microsoft</Company>
  <LinksUpToDate>false</LinksUpToDate>
  <CharactersWithSpaces>18950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2020-01-27T11:48:00Z</dcterms:created>
  <dcterms:modified xsi:type="dcterms:W3CDTF">2020-01-27T11:50:00Z</dcterms:modified>
</cp:coreProperties>
</file>